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5D17D" w14:textId="514153B5" w:rsidR="00091A3C" w:rsidRDefault="0045202B">
      <w:r>
        <w:t>Final Draft of Rhetorical Analysis:</w:t>
      </w:r>
    </w:p>
    <w:p w14:paraId="523533D9" w14:textId="5E12F7A7" w:rsidR="0045202B" w:rsidRDefault="0045202B"/>
    <w:p w14:paraId="18B3AA1F" w14:textId="0B19A470" w:rsidR="0045202B" w:rsidRDefault="0045202B" w:rsidP="0045202B">
      <w:pPr>
        <w:ind w:firstLine="720"/>
      </w:pPr>
      <w:r>
        <w:t xml:space="preserve">Charles Dickens’ goal as a writer was beyond entertaining his admirers of literature, his goal was to give a wakeup call to the heinous crimes committed against the less fortunate. Paul Davis gives insight into Dickens personal vindication on society and how they lacked empathy for the poor by economic, social and political means. William Wrigg dives in the personal life of Dickens childhood and wanders into the psychological impacts faced by Dickens and his influence on writing. Lastly, Ronald Meldrum exemplifies Dickens’ life journey of social and political reform. </w:t>
      </w:r>
    </w:p>
    <w:p w14:paraId="71C62451" w14:textId="79ED04AE" w:rsidR="0045202B" w:rsidRDefault="0045202B" w:rsidP="0045202B">
      <w:pPr>
        <w:ind w:firstLine="720"/>
      </w:pPr>
      <w:r>
        <w:t>These three writers communicate to the audience with similarities in how Dickens’ childhood impacted his writing on a much larger scale then even he knew. Dickens did not have a typical happy childhood, as Wrigg states, “</w:t>
      </w:r>
      <w:proofErr w:type="gramStart"/>
      <w:r>
        <w:t>…[</w:t>
      </w:r>
      <w:proofErr w:type="gramEnd"/>
      <w:r>
        <w:t xml:space="preserve">there were] deep-seated insecurities that had origin in the tragic, poverty-stricken years of his unhappy childhood,”(538). As well as Meldrum touches base on how, “Dickens knew little tenderness or security as a child,” (95). The purpose to include this insight is to provide an insight into the reasons why Dickens work was solely based upon the greedy rich and the helpless poor as they are reflections of his childhood. This was done to give a further explanation to the audience and allow them to feel sympathy and understand that mental health, even though not a highlighted obstacle in Dicken’s day, was a struggle that he had not overcome even into his transition into adulthood and much was reflected into all of his pieces of work that followed a similar pattern. </w:t>
      </w:r>
    </w:p>
    <w:p w14:paraId="14D96D91" w14:textId="4FFEDA97" w:rsidR="0045202B" w:rsidRPr="0045202B" w:rsidRDefault="0045202B" w:rsidP="0045202B">
      <w:pPr>
        <w:ind w:firstLine="720"/>
      </w:pPr>
      <w:r>
        <w:t xml:space="preserve">Davis, Wrigg, and Meldrum had yet another commonality within their analyzation of Charles Dickens, and that was Dickens’ crusade of social reform and justice. In Davis’s analyzation, he gave many examples of the timeless masterpiece, </w:t>
      </w:r>
      <w:r>
        <w:rPr>
          <w:i/>
          <w:iCs/>
        </w:rPr>
        <w:t>A Christmas Carol,</w:t>
      </w:r>
      <w:r>
        <w:t xml:space="preserve"> and how the story thrives beyond its years and comforts those in economic and social turmoil, specifically those who chose to, “escape oppressive economic realities</w:t>
      </w:r>
      <w:proofErr w:type="gramStart"/>
      <w:r>
        <w:t>.”(</w:t>
      </w:r>
      <w:proofErr w:type="gramEnd"/>
      <w:r>
        <w:t xml:space="preserve">115). In Meldrum’s situational analysis, he highlights that, “Dickens was too clever to wish for utter uniformity or conformity in education,” (92). Wrigg touched base on how Dickens was rather a pessimistic and did not see the good in humanity, but rather, “Dickens doubted the success of even the most high-minded reforms unless a genuine feeling of good will came to prevail amongst men,” (538). These writers wanted to highlight the good and evil in men, in which is how these points are similar as the topic of social reform but differ in the message of how Dickens went about to achieve his social reform through his lack of belief in humanity. Davis and Meldrum highlight the positives of the crusade that Dickens proceeded with throughout his career, but Wrigg highlights that Dickens felt that humanity cannot change and that they were doomed with their selfish ways. Wrigg still ties into the topic of social reform but emphasizes the point that not all of Dickens efforts were so noble, which allows the audience to determine that not all aspects of social reform are a gleeful and glorious victory, but sometimes a cold and harsh reality, even when it comes to someone who has been glorified such as Charles Dickens. </w:t>
      </w:r>
    </w:p>
    <w:p w14:paraId="1C4D3A9B" w14:textId="15900DC1" w:rsidR="0045202B" w:rsidRDefault="0045202B" w:rsidP="0045202B">
      <w:pPr>
        <w:ind w:firstLine="720"/>
      </w:pPr>
      <w:r>
        <w:t>Dickens is a well-established writer who is well known for his constant use and importance of character symbolism. Wrigg, Meldrum, and Davis all highlight the importance of the characters that have become the essence of Dickens work. Davis focuses on, “…Scrooge huddled behind the desk while Bob shivers on his high stool are etched on our consciousness</w:t>
      </w:r>
      <w:proofErr w:type="gramStart"/>
      <w:r>
        <w:t>.”(</w:t>
      </w:r>
      <w:proofErr w:type="gramEnd"/>
      <w:r>
        <w:t xml:space="preserve">109). Davis recalls probably the most well-known story that society acknowledges with much commonality, which is why this is the focus of his analyzation because </w:t>
      </w:r>
      <w:r>
        <w:lastRenderedPageBreak/>
        <w:t>his audience most likely is well inversed with the content and feels it is easy to explore on a critical level since the audience is presumed to understand to story at a superficial level. Wrigg as well highlights, “Scrooge’s entire existence is devoted to ledgers, cash boxes, and bills of sale.” (539). Wrigg feels that the audience is comfortable enough to understand the content and can take it a step further and begin to understand the symbolism of these characters. Meldrum chooses to name a few characters that actually do not experience any change in character development such as, “Mr. Dombey, Mr. Gradgrind and Pip,” (97). This ties into how Wrigg demonstrated on how Dickens feelings on social reform and humanities incapability of change tie into his character symbolism throughout various pieces of work. These authors highlight this constant pattern in Dickens work so that the audience can begin to understand beyond the superficial layers of the stories that they read. There is a purpose to every character and these characters therefore tie into how Dickens feels with the lack of justice he has seen with eyes in the society that he is surrounded by ever since his childhood, which has impacted his beliefs and needs for reforms.</w:t>
      </w:r>
    </w:p>
    <w:p w14:paraId="510B1A79" w14:textId="526C54D8" w:rsidR="0045202B" w:rsidRDefault="0045202B" w:rsidP="0045202B">
      <w:pPr>
        <w:ind w:firstLine="720"/>
      </w:pPr>
    </w:p>
    <w:p w14:paraId="20FFB0FF" w14:textId="0C35E7E7" w:rsidR="0045202B" w:rsidRDefault="0045202B" w:rsidP="0045202B">
      <w:pPr>
        <w:ind w:firstLine="720"/>
      </w:pPr>
    </w:p>
    <w:p w14:paraId="1068A609" w14:textId="5BBCA056" w:rsidR="0045202B" w:rsidRDefault="0045202B" w:rsidP="007614FF">
      <w:pPr>
        <w:rPr>
          <w:rFonts w:ascii="Times New Roman" w:eastAsia="Times New Roman" w:hAnsi="Times New Roman" w:cs="Times New Roman"/>
          <w:color w:val="000000"/>
          <w:shd w:val="clear" w:color="auto" w:fill="FFFFFF"/>
        </w:rPr>
      </w:pPr>
    </w:p>
    <w:p w14:paraId="6E5FED1D" w14:textId="3577612E" w:rsidR="007614FF" w:rsidRDefault="007614FF" w:rsidP="007614FF">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Citation Information:</w:t>
      </w:r>
    </w:p>
    <w:p w14:paraId="2C00E529" w14:textId="78A5561D" w:rsidR="007614FF" w:rsidRDefault="007614FF" w:rsidP="007614FF">
      <w:pPr>
        <w:rPr>
          <w:rFonts w:ascii="Times New Roman" w:eastAsia="Times New Roman" w:hAnsi="Times New Roman" w:cs="Times New Roman"/>
          <w:color w:val="000000"/>
          <w:shd w:val="clear" w:color="auto" w:fill="FFFFFF"/>
        </w:rPr>
      </w:pPr>
    </w:p>
    <w:p w14:paraId="4FEF3E99" w14:textId="3B29110A" w:rsidR="007614FF" w:rsidRDefault="007614FF" w:rsidP="007614FF">
      <w:p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w:t>
      </w:r>
      <w:r w:rsidRPr="007614FF">
        <w:rPr>
          <w:rFonts w:ascii="Times New Roman" w:eastAsia="Times New Roman" w:hAnsi="Times New Roman" w:cs="Times New Roman"/>
        </w:rPr>
        <w:t>Charles Dickens as Artist and Reformer</w:t>
      </w:r>
      <w:r>
        <w:rPr>
          <w:rFonts w:ascii="Times New Roman" w:eastAsia="Times New Roman" w:hAnsi="Times New Roman" w:cs="Times New Roman"/>
        </w:rPr>
        <w:t>”</w:t>
      </w:r>
      <w:r w:rsidRPr="007614FF">
        <w:rPr>
          <w:rFonts w:ascii="Times New Roman" w:eastAsia="Times New Roman" w:hAnsi="Times New Roman" w:cs="Times New Roman"/>
        </w:rPr>
        <w:t xml:space="preserve"> </w:t>
      </w:r>
    </w:p>
    <w:p w14:paraId="195DCC59" w14:textId="75977EFA"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Author(s): Ronald M. Meldrum </w:t>
      </w:r>
    </w:p>
    <w:p w14:paraId="5490573E" w14:textId="406FBACB"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Source: Albion: A Quarterly Journal Concerned with British </w:t>
      </w:r>
      <w:proofErr w:type="gramStart"/>
      <w:r w:rsidRPr="007614FF">
        <w:rPr>
          <w:rFonts w:ascii="Times New Roman" w:eastAsia="Times New Roman" w:hAnsi="Times New Roman" w:cs="Times New Roman"/>
        </w:rPr>
        <w:t>Studies ,</w:t>
      </w:r>
      <w:proofErr w:type="gramEnd"/>
      <w:r w:rsidRPr="007614FF">
        <w:rPr>
          <w:rFonts w:ascii="Times New Roman" w:eastAsia="Times New Roman" w:hAnsi="Times New Roman" w:cs="Times New Roman"/>
        </w:rPr>
        <w:t xml:space="preserve"> Summer, 1971, Vol. 3, No. 2 (Summer, 1971), pp. 92-98 </w:t>
      </w:r>
    </w:p>
    <w:p w14:paraId="6D6EEC74" w14:textId="77777777"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Published by: The North American Conference on British Studies Stable </w:t>
      </w:r>
    </w:p>
    <w:p w14:paraId="044D02A6" w14:textId="28415537" w:rsidR="007614FF" w:rsidRP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URL: http://www.jstor.com/stable/4048417</w:t>
      </w:r>
    </w:p>
    <w:p w14:paraId="22A2C98A" w14:textId="317F8BA5" w:rsidR="007614FF" w:rsidRDefault="007614FF" w:rsidP="007614FF"/>
    <w:p w14:paraId="051CF8B6" w14:textId="437E0155" w:rsidR="007614FF" w:rsidRDefault="007614FF" w:rsidP="007614FF"/>
    <w:p w14:paraId="70988777" w14:textId="0E84A5C4"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LITERARY HISTORY: </w:t>
      </w:r>
      <w:r>
        <w:rPr>
          <w:rFonts w:ascii="Times New Roman" w:eastAsia="Times New Roman" w:hAnsi="Times New Roman" w:cs="Times New Roman"/>
        </w:rPr>
        <w:t>“</w:t>
      </w:r>
      <w:r w:rsidRPr="007614FF">
        <w:rPr>
          <w:rFonts w:ascii="Times New Roman" w:eastAsia="Times New Roman" w:hAnsi="Times New Roman" w:cs="Times New Roman"/>
        </w:rPr>
        <w:t>Retelling A Christmas Carol</w:t>
      </w:r>
      <w:r>
        <w:rPr>
          <w:rFonts w:ascii="Times New Roman" w:eastAsia="Times New Roman" w:hAnsi="Times New Roman" w:cs="Times New Roman"/>
        </w:rPr>
        <w:t>”</w:t>
      </w:r>
      <w:r w:rsidRPr="007614FF">
        <w:rPr>
          <w:rFonts w:ascii="Times New Roman" w:eastAsia="Times New Roman" w:hAnsi="Times New Roman" w:cs="Times New Roman"/>
        </w:rPr>
        <w:t xml:space="preserve">: Text and Culture-Text </w:t>
      </w:r>
    </w:p>
    <w:p w14:paraId="44F178EE" w14:textId="77777777"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Author(s): PAUL DAVIS </w:t>
      </w:r>
    </w:p>
    <w:p w14:paraId="205F920D" w14:textId="77777777"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Source: The American </w:t>
      </w:r>
      <w:proofErr w:type="gramStart"/>
      <w:r w:rsidRPr="007614FF">
        <w:rPr>
          <w:rFonts w:ascii="Times New Roman" w:eastAsia="Times New Roman" w:hAnsi="Times New Roman" w:cs="Times New Roman"/>
        </w:rPr>
        <w:t>Scholar ,</w:t>
      </w:r>
      <w:proofErr w:type="gramEnd"/>
      <w:r w:rsidRPr="007614FF">
        <w:rPr>
          <w:rFonts w:ascii="Times New Roman" w:eastAsia="Times New Roman" w:hAnsi="Times New Roman" w:cs="Times New Roman"/>
        </w:rPr>
        <w:t xml:space="preserve"> Winter 1990, Vol. 59, No. 1 (Winter 1990), pp. 109-115 Published by: The Phi Beta Kappa Society Stable </w:t>
      </w:r>
    </w:p>
    <w:p w14:paraId="2AF8C658" w14:textId="0D15A5F9"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URL: http://www.jstor.com/stable/4121176</w:t>
      </w:r>
      <w:r>
        <w:rPr>
          <w:rFonts w:ascii="Times New Roman" w:eastAsia="Times New Roman" w:hAnsi="Times New Roman" w:cs="Times New Roman"/>
        </w:rPr>
        <w:t xml:space="preserve">2 </w:t>
      </w:r>
    </w:p>
    <w:p w14:paraId="128D0891" w14:textId="478E649D" w:rsidR="007614FF" w:rsidRDefault="007614FF" w:rsidP="007614FF">
      <w:pPr>
        <w:rPr>
          <w:rFonts w:ascii="Times New Roman" w:eastAsia="Times New Roman" w:hAnsi="Times New Roman" w:cs="Times New Roman"/>
        </w:rPr>
      </w:pPr>
    </w:p>
    <w:p w14:paraId="3CB6AEE1" w14:textId="77777777" w:rsidR="007614FF" w:rsidRPr="007614FF" w:rsidRDefault="007614FF" w:rsidP="007614FF">
      <w:pPr>
        <w:rPr>
          <w:rFonts w:ascii="Times New Roman" w:eastAsia="Times New Roman" w:hAnsi="Times New Roman" w:cs="Times New Roman"/>
        </w:rPr>
      </w:pPr>
    </w:p>
    <w:p w14:paraId="540601F4" w14:textId="11D81A03" w:rsidR="007614FF" w:rsidRDefault="007614FF" w:rsidP="007614FF"/>
    <w:p w14:paraId="2A6A9558" w14:textId="55F029E8" w:rsidR="007614FF" w:rsidRDefault="007614FF" w:rsidP="007614FF"/>
    <w:p w14:paraId="62C16879" w14:textId="0EB33521" w:rsidR="007614FF" w:rsidRDefault="007614FF" w:rsidP="007614FF">
      <w:pPr>
        <w:rPr>
          <w:rFonts w:ascii="Times New Roman" w:eastAsia="Times New Roman" w:hAnsi="Times New Roman" w:cs="Times New Roman"/>
        </w:rPr>
      </w:pPr>
      <w:r>
        <w:rPr>
          <w:rFonts w:ascii="Times New Roman" w:eastAsia="Times New Roman" w:hAnsi="Times New Roman" w:cs="Times New Roman"/>
        </w:rPr>
        <w:t>“</w:t>
      </w:r>
      <w:r w:rsidRPr="007614FF">
        <w:rPr>
          <w:rFonts w:ascii="Times New Roman" w:eastAsia="Times New Roman" w:hAnsi="Times New Roman" w:cs="Times New Roman"/>
        </w:rPr>
        <w:t>Dickens' Message of Christmas</w:t>
      </w:r>
      <w:r>
        <w:rPr>
          <w:rFonts w:ascii="Times New Roman" w:eastAsia="Times New Roman" w:hAnsi="Times New Roman" w:cs="Times New Roman"/>
        </w:rPr>
        <w:t>”</w:t>
      </w:r>
      <w:r w:rsidRPr="007614FF">
        <w:rPr>
          <w:rFonts w:ascii="Times New Roman" w:eastAsia="Times New Roman" w:hAnsi="Times New Roman" w:cs="Times New Roman"/>
        </w:rPr>
        <w:t xml:space="preserve"> </w:t>
      </w:r>
    </w:p>
    <w:p w14:paraId="7DBDF355" w14:textId="77777777"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Author(s): William Wrigg </w:t>
      </w:r>
    </w:p>
    <w:p w14:paraId="0A4CFC95" w14:textId="77777777"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Source: The English </w:t>
      </w:r>
      <w:proofErr w:type="gramStart"/>
      <w:r w:rsidRPr="007614FF">
        <w:rPr>
          <w:rFonts w:ascii="Times New Roman" w:eastAsia="Times New Roman" w:hAnsi="Times New Roman" w:cs="Times New Roman"/>
        </w:rPr>
        <w:t>Journal ,</w:t>
      </w:r>
      <w:proofErr w:type="gramEnd"/>
      <w:r w:rsidRPr="007614FF">
        <w:rPr>
          <w:rFonts w:ascii="Times New Roman" w:eastAsia="Times New Roman" w:hAnsi="Times New Roman" w:cs="Times New Roman"/>
        </w:rPr>
        <w:t xml:space="preserve"> Dec., 1959, Vol. 48, No. 9 (Dec., 1959), pp. 537-539</w:t>
      </w:r>
    </w:p>
    <w:p w14:paraId="1A6572FC" w14:textId="77777777" w:rsid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 xml:space="preserve"> Published by: National Council of Teachers of English </w:t>
      </w:r>
    </w:p>
    <w:p w14:paraId="05D107C6" w14:textId="4682939B" w:rsidR="007614FF" w:rsidRPr="007614FF" w:rsidRDefault="007614FF" w:rsidP="007614FF">
      <w:pPr>
        <w:rPr>
          <w:rFonts w:ascii="Times New Roman" w:eastAsia="Times New Roman" w:hAnsi="Times New Roman" w:cs="Times New Roman"/>
        </w:rPr>
      </w:pPr>
      <w:r w:rsidRPr="007614FF">
        <w:rPr>
          <w:rFonts w:ascii="Times New Roman" w:eastAsia="Times New Roman" w:hAnsi="Times New Roman" w:cs="Times New Roman"/>
        </w:rPr>
        <w:t>Stable URL: http://www.jstor.com/stable/808856</w:t>
      </w:r>
    </w:p>
    <w:p w14:paraId="79849A6B" w14:textId="77777777" w:rsidR="007614FF" w:rsidRPr="007614FF" w:rsidRDefault="007614FF" w:rsidP="007614FF">
      <w:pPr>
        <w:jc w:val="center"/>
      </w:pPr>
    </w:p>
    <w:sectPr w:rsidR="007614FF" w:rsidRPr="007614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2B"/>
    <w:rsid w:val="0045202B"/>
    <w:rsid w:val="00577656"/>
    <w:rsid w:val="007614FF"/>
    <w:rsid w:val="00EA5E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E64F02"/>
  <w15:chartTrackingRefBased/>
  <w15:docId w15:val="{1CEFDA88-B2F8-4940-A8C8-53B0C528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02B"/>
    <w:rPr>
      <w:color w:val="0563C1" w:themeColor="hyperlink"/>
      <w:u w:val="single"/>
    </w:rPr>
  </w:style>
  <w:style w:type="character" w:styleId="UnresolvedMention">
    <w:name w:val="Unresolved Mention"/>
    <w:basedOn w:val="DefaultParagraphFont"/>
    <w:uiPriority w:val="99"/>
    <w:semiHidden/>
    <w:unhideWhenUsed/>
    <w:rsid w:val="00452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420575">
      <w:bodyDiv w:val="1"/>
      <w:marLeft w:val="0"/>
      <w:marRight w:val="0"/>
      <w:marTop w:val="0"/>
      <w:marBottom w:val="0"/>
      <w:divBdr>
        <w:top w:val="none" w:sz="0" w:space="0" w:color="auto"/>
        <w:left w:val="none" w:sz="0" w:space="0" w:color="auto"/>
        <w:bottom w:val="none" w:sz="0" w:space="0" w:color="auto"/>
        <w:right w:val="none" w:sz="0" w:space="0" w:color="auto"/>
      </w:divBdr>
    </w:div>
    <w:div w:id="399904500">
      <w:bodyDiv w:val="1"/>
      <w:marLeft w:val="0"/>
      <w:marRight w:val="0"/>
      <w:marTop w:val="0"/>
      <w:marBottom w:val="0"/>
      <w:divBdr>
        <w:top w:val="none" w:sz="0" w:space="0" w:color="auto"/>
        <w:left w:val="none" w:sz="0" w:space="0" w:color="auto"/>
        <w:bottom w:val="none" w:sz="0" w:space="0" w:color="auto"/>
        <w:right w:val="none" w:sz="0" w:space="0" w:color="auto"/>
      </w:divBdr>
    </w:div>
    <w:div w:id="1148747091">
      <w:bodyDiv w:val="1"/>
      <w:marLeft w:val="0"/>
      <w:marRight w:val="0"/>
      <w:marTop w:val="0"/>
      <w:marBottom w:val="0"/>
      <w:divBdr>
        <w:top w:val="none" w:sz="0" w:space="0" w:color="auto"/>
        <w:left w:val="none" w:sz="0" w:space="0" w:color="auto"/>
        <w:bottom w:val="none" w:sz="0" w:space="0" w:color="auto"/>
        <w:right w:val="none" w:sz="0" w:space="0" w:color="auto"/>
      </w:divBdr>
    </w:div>
    <w:div w:id="19991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 Gosal</dc:creator>
  <cp:keywords/>
  <dc:description/>
  <cp:lastModifiedBy>Dil Gosal</cp:lastModifiedBy>
  <cp:revision>2</cp:revision>
  <dcterms:created xsi:type="dcterms:W3CDTF">2021-03-16T23:24:00Z</dcterms:created>
  <dcterms:modified xsi:type="dcterms:W3CDTF">2021-03-18T02:05:00Z</dcterms:modified>
</cp:coreProperties>
</file>